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/>
        <w:ind w:firstLine="643"/>
        <w:jc w:val="center"/>
        <w:rPr>
          <w:b/>
          <w:sz w:val="32"/>
          <w:szCs w:val="32"/>
          <w:lang w:eastAsia="zh-CN"/>
        </w:rPr>
      </w:pPr>
      <w:r>
        <w:rPr>
          <w:rFonts w:hint="eastAsia"/>
          <w:b/>
          <w:sz w:val="32"/>
          <w:szCs w:val="32"/>
          <w:lang w:eastAsia="zh-CN"/>
        </w:rPr>
        <w:t>南京邮电大学课程考试校内专家评价表</w:t>
      </w:r>
    </w:p>
    <w:tbl>
      <w:tblPr>
        <w:tblStyle w:val="26"/>
        <w:tblW w:w="949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0"/>
        <w:gridCol w:w="456"/>
        <w:gridCol w:w="2510"/>
        <w:gridCol w:w="1163"/>
        <w:gridCol w:w="1971"/>
        <w:gridCol w:w="849"/>
        <w:gridCol w:w="9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550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eastAsia="zh-CN" w:bidi="ar-SA"/>
              </w:rPr>
              <w:t>课程名称</w:t>
            </w:r>
          </w:p>
        </w:tc>
        <w:tc>
          <w:tcPr>
            <w:tcW w:w="2966" w:type="dxa"/>
            <w:gridSpan w:val="2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left="-110" w:leftChars="-50" w:right="-110" w:rightChars="-50" w:firstLine="0" w:firstLineChars="0"/>
              <w:jc w:val="center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eastAsia="zh-CN" w:bidi="ar-SA"/>
              </w:rPr>
              <w:t>考试班级</w:t>
            </w:r>
          </w:p>
        </w:tc>
        <w:tc>
          <w:tcPr>
            <w:tcW w:w="3814" w:type="dxa"/>
            <w:gridSpan w:val="3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550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eastAsia="zh-CN" w:bidi="ar-SA"/>
              </w:rPr>
              <w:t>考试学期</w:t>
            </w:r>
          </w:p>
        </w:tc>
        <w:tc>
          <w:tcPr>
            <w:tcW w:w="2966" w:type="dxa"/>
            <w:gridSpan w:val="2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right="-37" w:rightChars="-17" w:firstLine="0" w:firstLineChars="0"/>
              <w:jc w:val="center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eastAsia="zh-CN" w:bidi="ar-SA"/>
              </w:rPr>
              <w:t xml:space="preserve">      学年   第   学期</w:t>
            </w:r>
          </w:p>
        </w:tc>
        <w:tc>
          <w:tcPr>
            <w:tcW w:w="1163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left="-110" w:leftChars="-50" w:right="-110" w:rightChars="-50" w:firstLine="0" w:firstLineChars="0"/>
              <w:jc w:val="center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eastAsia="zh-CN" w:bidi="ar-SA"/>
              </w:rPr>
              <w:t>试卷数量</w:t>
            </w:r>
          </w:p>
        </w:tc>
        <w:tc>
          <w:tcPr>
            <w:tcW w:w="3814" w:type="dxa"/>
            <w:gridSpan w:val="3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eastAsia="zh-CN" w:bidi="ar-SA"/>
              </w:rPr>
              <w:t xml:space="preserve">    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7650" w:type="dxa"/>
            <w:gridSpan w:val="5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eastAsia="zh-CN" w:bidi="ar-SA"/>
              </w:rPr>
              <w:t>评价项目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eastAsia="zh-CN" w:bidi="ar-SA"/>
              </w:rPr>
              <w:t>权重</w:t>
            </w:r>
          </w:p>
        </w:tc>
        <w:tc>
          <w:tcPr>
            <w:tcW w:w="994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right="-110" w:rightChars="-50" w:firstLine="0" w:firstLineChars="0"/>
              <w:jc w:val="center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eastAsia="zh-CN" w:bidi="ar-SA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550" w:type="dxa"/>
            <w:vMerge w:val="restart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eastAsia="zh-CN" w:bidi="ar-SA"/>
              </w:rPr>
              <w:t>命题制卷</w:t>
            </w:r>
          </w:p>
        </w:tc>
        <w:tc>
          <w:tcPr>
            <w:tcW w:w="456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eastAsia="zh-CN" w:bidi="ar-SA"/>
              </w:rPr>
              <w:t>1</w:t>
            </w:r>
          </w:p>
        </w:tc>
        <w:tc>
          <w:tcPr>
            <w:tcW w:w="5644" w:type="dxa"/>
            <w:gridSpan w:val="3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eastAsia="zh-CN" w:bidi="ar-SA"/>
              </w:rPr>
              <w:t>命题符合课程教学大纲基本要求，涵盖各知识点</w:t>
            </w: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val="en-US" w:eastAsia="zh-CN" w:bidi="ar-SA"/>
              </w:rPr>
              <w:t>和毕业要求指标点</w:t>
            </w: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eastAsia="zh-CN" w:bidi="ar-SA"/>
              </w:rPr>
              <w:t>，试卷中涉及重点与难点的试题应占一定比例</w:t>
            </w:r>
            <w:r>
              <w:rPr>
                <w:rFonts w:hint="eastAsia" w:cs="宋体" w:asciiTheme="minorEastAsia" w:hAnsiTheme="minorEastAsia"/>
                <w:bCs/>
                <w:color w:val="FF0000"/>
                <w:sz w:val="24"/>
                <w:szCs w:val="24"/>
                <w:lang w:eastAsia="zh-CN" w:bidi="ar-SA"/>
              </w:rPr>
              <w:t>，</w:t>
            </w:r>
            <w:r>
              <w:rPr>
                <w:rFonts w:hint="eastAsia" w:cs="宋体" w:asciiTheme="minorEastAsia" w:hAnsiTheme="minorEastAsia"/>
                <w:bCs/>
                <w:color w:val="FF0000"/>
                <w:sz w:val="24"/>
                <w:szCs w:val="24"/>
                <w:lang w:val="en-US" w:eastAsia="zh-CN" w:bidi="ar-SA"/>
              </w:rPr>
              <w:t>能充分反映课程目标</w:t>
            </w: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eastAsia="zh-CN" w:bidi="ar-SA"/>
              </w:rPr>
              <w:t>。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eastAsia="zh-CN" w:bidi="ar-SA"/>
              </w:rPr>
              <w:t>15</w:t>
            </w:r>
          </w:p>
        </w:tc>
        <w:tc>
          <w:tcPr>
            <w:tcW w:w="994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550" w:type="dxa"/>
            <w:vMerge w:val="continue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eastAsia="zh-CN" w:bidi="ar-SA"/>
              </w:rPr>
              <w:t>2</w:t>
            </w:r>
          </w:p>
        </w:tc>
        <w:tc>
          <w:tcPr>
            <w:tcW w:w="5644" w:type="dxa"/>
            <w:gridSpan w:val="3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eastAsia="zh-CN" w:bidi="ar-SA"/>
              </w:rPr>
              <w:t>试题题量与难度适中，具有较好的区分度；题型设置与题目</w:t>
            </w:r>
            <w:r>
              <w:rPr>
                <w:rFonts w:hint="eastAsia" w:ascii="默认字体" w:eastAsia="默认字体"/>
                <w:sz w:val="24"/>
                <w:szCs w:val="24"/>
                <w:lang w:eastAsia="zh-CN"/>
              </w:rPr>
              <w:t>分值分配合理，</w:t>
            </w: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eastAsia="zh-CN" w:bidi="ar-SA"/>
              </w:rPr>
              <w:t>基础题、应用题、提高题比例适当。</w:t>
            </w: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val="en-US" w:eastAsia="zh-CN" w:bidi="ar-SA"/>
              </w:rPr>
              <w:t>试题命题能反映一定的工程应用背景。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eastAsia="zh-CN" w:bidi="ar-SA"/>
              </w:rPr>
              <w:t>15</w:t>
            </w:r>
          </w:p>
        </w:tc>
        <w:tc>
          <w:tcPr>
            <w:tcW w:w="994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left="-44" w:leftChars="-20" w:right="-44" w:rightChars="-20" w:firstLine="0" w:firstLineChars="0"/>
              <w:jc w:val="center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50" w:type="dxa"/>
            <w:vMerge w:val="continue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eastAsia="zh-CN" w:bidi="ar-SA"/>
              </w:rPr>
              <w:t>3</w:t>
            </w:r>
          </w:p>
        </w:tc>
        <w:tc>
          <w:tcPr>
            <w:tcW w:w="5644" w:type="dxa"/>
            <w:gridSpan w:val="3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eastAsia="zh-CN" w:bidi="ar-SA"/>
              </w:rPr>
              <w:t>试题无科学性错误，表述正确无歧义，图表清晰无错漏，答题留空适当，排版规范。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eastAsia="zh-CN" w:bidi="ar-SA"/>
              </w:rPr>
              <w:t>15</w:t>
            </w:r>
          </w:p>
        </w:tc>
        <w:tc>
          <w:tcPr>
            <w:tcW w:w="994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550" w:type="dxa"/>
            <w:vMerge w:val="continue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eastAsia="zh-CN" w:bidi="ar-SA"/>
              </w:rPr>
              <w:t>4</w:t>
            </w:r>
          </w:p>
        </w:tc>
        <w:tc>
          <w:tcPr>
            <w:tcW w:w="5644" w:type="dxa"/>
            <w:gridSpan w:val="3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-SA"/>
              </w:rPr>
              <w:t>试卷附有《参考答案及评分标准》。客观题答案准确无误，主观题参考答案有评分要点和评分标准，</w:t>
            </w: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eastAsia="zh-CN" w:bidi="ar-SA"/>
              </w:rPr>
              <w:t>评分标准合理，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-SA"/>
              </w:rPr>
              <w:t>便于掌握，若试题存在多种解法应有说明。</w:t>
            </w:r>
            <w:r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  <w:t xml:space="preserve"> 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eastAsia="zh-CN" w:bidi="ar-SA"/>
              </w:rPr>
              <w:t>1</w:t>
            </w: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val="en-US" w:eastAsia="zh-CN" w:bidi="ar-SA"/>
              </w:rPr>
              <w:t>0</w:t>
            </w:r>
          </w:p>
        </w:tc>
        <w:tc>
          <w:tcPr>
            <w:tcW w:w="994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550" w:type="dxa"/>
            <w:vMerge w:val="continue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eastAsia="zh-CN" w:bidi="ar-SA"/>
              </w:rPr>
              <w:t>5</w:t>
            </w:r>
          </w:p>
        </w:tc>
        <w:tc>
          <w:tcPr>
            <w:tcW w:w="5644" w:type="dxa"/>
            <w:gridSpan w:val="3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eastAsia="zh-CN" w:bidi="ar-SA"/>
              </w:rPr>
              <w:t>同一学期的A、B两套试卷水准相当，重复率低于15%；同一课程近几学期试卷试题重复率低。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eastAsia="zh-CN" w:bidi="ar-SA"/>
              </w:rPr>
              <w:t>15</w:t>
            </w:r>
          </w:p>
        </w:tc>
        <w:tc>
          <w:tcPr>
            <w:tcW w:w="994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0" w:type="dxa"/>
            <w:vMerge w:val="restart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eastAsia="zh-CN" w:bidi="ar-SA"/>
              </w:rPr>
              <w:t>试卷批阅</w:t>
            </w:r>
          </w:p>
        </w:tc>
        <w:tc>
          <w:tcPr>
            <w:tcW w:w="456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eastAsia="zh-CN" w:bidi="ar-SA"/>
              </w:rPr>
              <w:t>6</w:t>
            </w:r>
          </w:p>
        </w:tc>
        <w:tc>
          <w:tcPr>
            <w:tcW w:w="5644" w:type="dxa"/>
            <w:gridSpan w:val="3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eastAsia="zh-CN" w:bidi="ar-SA"/>
              </w:rPr>
              <w:t>阅卷严肃、准确、公正、合理，严格按评分标准扣分，无错判、漏判和随意扣分、送分等情况。统一考试的课程须实行集体阅卷评分。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eastAsia="zh-CN" w:bidi="ar-SA"/>
              </w:rPr>
              <w:t>5</w:t>
            </w:r>
          </w:p>
        </w:tc>
        <w:tc>
          <w:tcPr>
            <w:tcW w:w="994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0" w:type="dxa"/>
            <w:vMerge w:val="continue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eastAsia="zh-CN" w:bidi="ar-SA"/>
              </w:rPr>
              <w:t>7</w:t>
            </w:r>
          </w:p>
        </w:tc>
        <w:tc>
          <w:tcPr>
            <w:tcW w:w="5644" w:type="dxa"/>
            <w:gridSpan w:val="3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eastAsia="zh-CN" w:bidi="ar-SA"/>
              </w:rPr>
              <w:t>试卷批阅痕迹清晰易懂、工整简洁，扣分、得分标记正确，合分准确无误，更正批阅</w:t>
            </w:r>
            <w:bookmarkStart w:id="0" w:name="_GoBack"/>
            <w:bookmarkEnd w:id="0"/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eastAsia="zh-CN" w:bidi="ar-SA"/>
              </w:rPr>
              <w:t>错误的须有教师签名。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eastAsia="zh-CN" w:bidi="ar-SA"/>
              </w:rPr>
              <w:t>5</w:t>
            </w:r>
          </w:p>
        </w:tc>
        <w:tc>
          <w:tcPr>
            <w:tcW w:w="994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550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eastAsia="zh-CN" w:bidi="ar-SA"/>
              </w:rPr>
              <w:t>成绩分析</w:t>
            </w:r>
          </w:p>
        </w:tc>
        <w:tc>
          <w:tcPr>
            <w:tcW w:w="456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eastAsia="zh-CN" w:bidi="ar-SA"/>
              </w:rPr>
              <w:t>8</w:t>
            </w:r>
          </w:p>
        </w:tc>
        <w:tc>
          <w:tcPr>
            <w:tcW w:w="5644" w:type="dxa"/>
            <w:gridSpan w:val="3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eastAsia="zh-CN" w:bidi="ar-SA"/>
              </w:rPr>
              <w:t>考试成绩</w:t>
            </w: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val="en-US" w:eastAsia="zh-CN" w:bidi="ar-SA"/>
              </w:rPr>
              <w:t>和课程小结</w:t>
            </w:r>
            <w:r>
              <w:rPr>
                <w:rFonts w:hint="eastAsia" w:cs="宋体" w:asciiTheme="minorEastAsia" w:hAnsiTheme="minorEastAsia"/>
                <w:bCs/>
                <w:color w:val="FF0000"/>
                <w:sz w:val="24"/>
                <w:szCs w:val="24"/>
                <w:lang w:val="en-US" w:eastAsia="zh-CN" w:bidi="ar-SA"/>
              </w:rPr>
              <w:t>及达成评价</w:t>
            </w: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eastAsia="zh-CN" w:bidi="ar-SA"/>
              </w:rPr>
              <w:t>分析客观具体，明确指出存在的问题，提出切实可行的</w:t>
            </w:r>
            <w:r>
              <w:rPr>
                <w:rFonts w:hint="eastAsia" w:cs="宋体" w:asciiTheme="minorEastAsia" w:hAnsiTheme="minorEastAsia"/>
                <w:bCs/>
                <w:color w:val="FF0000"/>
                <w:sz w:val="24"/>
                <w:szCs w:val="24"/>
                <w:lang w:val="en-US" w:eastAsia="zh-CN" w:bidi="ar-SA"/>
              </w:rPr>
              <w:t>持续</w:t>
            </w: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eastAsia="zh-CN" w:bidi="ar-SA"/>
              </w:rPr>
              <w:t>改进措施。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994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0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eastAsia="zh-CN" w:bidi="ar-SA"/>
              </w:rPr>
              <w:t>课程总成绩</w:t>
            </w:r>
          </w:p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eastAsia="zh-CN" w:bidi="ar-SA"/>
              </w:rPr>
              <w:t>评定</w:t>
            </w:r>
          </w:p>
        </w:tc>
        <w:tc>
          <w:tcPr>
            <w:tcW w:w="456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eastAsia="zh-CN" w:bidi="ar-SA"/>
              </w:rPr>
              <w:t>9</w:t>
            </w:r>
          </w:p>
        </w:tc>
        <w:tc>
          <w:tcPr>
            <w:tcW w:w="5644" w:type="dxa"/>
            <w:gridSpan w:val="3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eastAsia="zh-CN" w:bidi="ar-SA"/>
              </w:rPr>
              <w:t>平时成绩评定有据可依，课程总成绩构成比例符合规定，课程总成绩一般应呈正态分布。折算与登记准确无误。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eastAsia="zh-CN" w:bidi="ar-SA"/>
              </w:rPr>
              <w:t>5</w:t>
            </w:r>
          </w:p>
        </w:tc>
        <w:tc>
          <w:tcPr>
            <w:tcW w:w="994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0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eastAsia="zh-CN" w:bidi="ar-SA"/>
              </w:rPr>
              <w:t>试卷管理</w:t>
            </w:r>
          </w:p>
        </w:tc>
        <w:tc>
          <w:tcPr>
            <w:tcW w:w="456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eastAsia="zh-CN" w:bidi="ar-SA"/>
              </w:rPr>
              <w:t>10</w:t>
            </w:r>
          </w:p>
        </w:tc>
        <w:tc>
          <w:tcPr>
            <w:tcW w:w="5644" w:type="dxa"/>
            <w:gridSpan w:val="3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eastAsia="zh-CN" w:bidi="ar-SA"/>
              </w:rPr>
              <w:t>试卷审批手续完备；试卷装订规范，试卷数量准确，归档材料齐全，各登记项填写完整清晰。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eastAsia="zh-CN" w:bidi="ar-SA"/>
              </w:rPr>
              <w:t>5</w:t>
            </w:r>
          </w:p>
        </w:tc>
        <w:tc>
          <w:tcPr>
            <w:tcW w:w="994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499" w:type="dxa"/>
            <w:gridSpan w:val="6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2443" w:firstLineChars="1018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eastAsia="zh-CN" w:bidi="ar-SA"/>
              </w:rPr>
              <w:t>总评价分（满分100）</w:t>
            </w:r>
          </w:p>
        </w:tc>
        <w:tc>
          <w:tcPr>
            <w:tcW w:w="994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6" w:hRule="atLeast"/>
          <w:jc w:val="center"/>
        </w:trPr>
        <w:tc>
          <w:tcPr>
            <w:tcW w:w="1550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eastAsia="zh-CN" w:bidi="ar-SA"/>
              </w:rPr>
              <w:t>专家评语</w:t>
            </w:r>
          </w:p>
          <w:p>
            <w:pPr>
              <w:widowControl w:val="0"/>
              <w:adjustRightInd w:val="0"/>
              <w:snapToGrid w:val="0"/>
              <w:spacing w:afterLines="0" w:line="240" w:lineRule="auto"/>
              <w:ind w:left="-110" w:leftChars="-50" w:right="-110" w:rightChars="-50" w:firstLine="0" w:firstLineChars="0"/>
              <w:jc w:val="center"/>
              <w:rPr>
                <w:rFonts w:cs="宋体" w:asciiTheme="minorEastAsia" w:hAnsiTheme="minorEastAsia"/>
                <w:bCs/>
                <w:sz w:val="18"/>
                <w:szCs w:val="18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sz w:val="18"/>
                <w:szCs w:val="18"/>
                <w:lang w:eastAsia="zh-CN" w:bidi="ar-SA"/>
              </w:rPr>
              <w:t>（</w:t>
            </w:r>
            <w:r>
              <w:rPr>
                <w:rFonts w:hint="default" w:ascii="Times New Roman" w:hAnsi="Times New Roman" w:cs="Times New Roman"/>
                <w:bCs/>
                <w:sz w:val="18"/>
                <w:szCs w:val="18"/>
                <w:lang w:val="en-US" w:eastAsia="zh-CN" w:bidi="ar-SA"/>
              </w:rPr>
              <w:t>试题能否较好反映毕业要求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 w:bidi="ar-SA"/>
              </w:rPr>
              <w:t>指标点</w:t>
            </w:r>
            <w:r>
              <w:rPr>
                <w:rFonts w:hint="default" w:ascii="Times New Roman" w:hAnsi="Times New Roman" w:cs="Times New Roman"/>
                <w:bCs/>
                <w:sz w:val="18"/>
                <w:szCs w:val="18"/>
                <w:lang w:val="en-US" w:eastAsia="zh-CN" w:bidi="ar-SA"/>
              </w:rPr>
              <w:t>，是否有较完整的形成性评价，教学过程是否体现了OBE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 w:bidi="ar-SA"/>
              </w:rPr>
              <w:t>的理念，</w:t>
            </w:r>
            <w:r>
              <w:rPr>
                <w:rFonts w:hint="eastAsia" w:cs="宋体" w:asciiTheme="minorEastAsia" w:hAnsiTheme="minorEastAsia"/>
                <w:bCs/>
                <w:sz w:val="18"/>
                <w:szCs w:val="18"/>
                <w:lang w:eastAsia="zh-CN" w:bidi="ar-SA"/>
              </w:rPr>
              <w:t>内容多可附页）</w:t>
            </w:r>
          </w:p>
        </w:tc>
        <w:tc>
          <w:tcPr>
            <w:tcW w:w="7943" w:type="dxa"/>
            <w:gridSpan w:val="6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left="282" w:leftChars="128" w:right="255" w:rightChars="116" w:firstLine="280" w:firstLineChars="117"/>
              <w:rPr>
                <w:rFonts w:cs="宋体" w:asciiTheme="minorEastAsia" w:hAnsiTheme="minorEastAsia"/>
                <w:bCs/>
                <w:sz w:val="24"/>
                <w:szCs w:val="24"/>
                <w:lang w:eastAsia="zh-CN" w:bidi="ar-SA"/>
              </w:rPr>
            </w:pPr>
          </w:p>
        </w:tc>
      </w:tr>
    </w:tbl>
    <w:p>
      <w:pPr>
        <w:widowControl w:val="0"/>
        <w:spacing w:before="156" w:beforeLines="50" w:afterLines="0" w:line="240" w:lineRule="auto"/>
        <w:ind w:firstLine="424" w:firstLineChars="177"/>
        <w:rPr>
          <w:rFonts w:cs="宋体" w:asciiTheme="minorEastAsia" w:hAnsiTheme="minorEastAsia"/>
          <w:bCs/>
          <w:sz w:val="21"/>
          <w:szCs w:val="21"/>
          <w:lang w:eastAsia="zh-CN" w:bidi="ar-SA"/>
        </w:rPr>
      </w:pPr>
      <w:r>
        <w:rPr>
          <w:rFonts w:hint="eastAsia" w:cs="宋体" w:asciiTheme="minorEastAsia" w:hAnsiTheme="minorEastAsia"/>
          <w:bCs/>
          <w:sz w:val="24"/>
          <w:szCs w:val="24"/>
          <w:lang w:eastAsia="zh-CN" w:bidi="ar-SA"/>
        </w:rPr>
        <w:t xml:space="preserve">评价人签名：                         评价日期：    </w:t>
      </w:r>
      <w:r>
        <w:rPr>
          <w:rFonts w:cs="宋体" w:asciiTheme="minorEastAsia" w:hAnsiTheme="minorEastAsia"/>
          <w:bCs/>
          <w:sz w:val="24"/>
          <w:szCs w:val="24"/>
          <w:lang w:eastAsia="zh-CN" w:bidi="ar-SA"/>
        </w:rPr>
        <w:t xml:space="preserve"> </w:t>
      </w:r>
      <w:r>
        <w:rPr>
          <w:rFonts w:hint="eastAsia" w:cs="宋体" w:asciiTheme="minorEastAsia" w:hAnsiTheme="minorEastAsia"/>
          <w:bCs/>
          <w:sz w:val="24"/>
          <w:szCs w:val="24"/>
          <w:lang w:eastAsia="zh-CN" w:bidi="ar-SA"/>
        </w:rPr>
        <w:t xml:space="preserve">    年  </w:t>
      </w:r>
      <w:r>
        <w:rPr>
          <w:rFonts w:cs="宋体" w:asciiTheme="minorEastAsia" w:hAnsiTheme="minorEastAsia"/>
          <w:bCs/>
          <w:sz w:val="24"/>
          <w:szCs w:val="24"/>
          <w:lang w:eastAsia="zh-CN" w:bidi="ar-SA"/>
        </w:rPr>
        <w:t xml:space="preserve"> </w:t>
      </w:r>
      <w:r>
        <w:rPr>
          <w:rFonts w:hint="eastAsia" w:cs="宋体" w:asciiTheme="minorEastAsia" w:hAnsiTheme="minorEastAsia"/>
          <w:bCs/>
          <w:sz w:val="24"/>
          <w:szCs w:val="24"/>
          <w:lang w:eastAsia="zh-CN" w:bidi="ar-SA"/>
        </w:rPr>
        <w:t xml:space="preserve"> 月  </w:t>
      </w:r>
      <w:r>
        <w:rPr>
          <w:rFonts w:cs="宋体" w:asciiTheme="minorEastAsia" w:hAnsiTheme="minorEastAsia"/>
          <w:bCs/>
          <w:sz w:val="24"/>
          <w:szCs w:val="24"/>
          <w:lang w:eastAsia="zh-CN" w:bidi="ar-SA"/>
        </w:rPr>
        <w:t xml:space="preserve"> </w:t>
      </w:r>
      <w:r>
        <w:rPr>
          <w:rFonts w:hint="eastAsia" w:cs="宋体" w:asciiTheme="minorEastAsia" w:hAnsiTheme="minorEastAsia"/>
          <w:bCs/>
          <w:sz w:val="24"/>
          <w:szCs w:val="24"/>
          <w:lang w:eastAsia="zh-CN" w:bidi="ar-SA"/>
        </w:rPr>
        <w:t xml:space="preserve"> 日</w:t>
      </w:r>
    </w:p>
    <w:p>
      <w:pPr>
        <w:widowControl w:val="0"/>
        <w:spacing w:before="156" w:beforeLines="50" w:afterLines="0" w:line="240" w:lineRule="auto"/>
        <w:ind w:firstLine="484" w:firstLineChars="202"/>
        <w:rPr>
          <w:rFonts w:cs="宋体" w:asciiTheme="minorEastAsia" w:hAnsiTheme="minorEastAsia"/>
          <w:bCs/>
          <w:sz w:val="21"/>
          <w:szCs w:val="21"/>
          <w:lang w:eastAsia="zh-CN" w:bidi="ar-SA"/>
        </w:rPr>
      </w:pPr>
      <w:r>
        <w:rPr>
          <w:rFonts w:hint="eastAsia" w:cs="宋体" w:asciiTheme="minorEastAsia" w:hAnsiTheme="minorEastAsia"/>
          <w:bCs/>
          <w:sz w:val="24"/>
          <w:szCs w:val="24"/>
          <w:lang w:eastAsia="zh-CN" w:bidi="ar-SA"/>
        </w:rPr>
        <w:t xml:space="preserve">工号：                     </w:t>
      </w:r>
      <w:r>
        <w:rPr>
          <w:rFonts w:hint="eastAsia" w:cs="宋体" w:asciiTheme="minorEastAsia" w:hAnsiTheme="minorEastAsia"/>
          <w:bCs/>
          <w:sz w:val="21"/>
          <w:szCs w:val="21"/>
          <w:lang w:eastAsia="zh-CN" w:bidi="ar-SA"/>
        </w:rPr>
        <w:t>（</w:t>
      </w:r>
      <w:r>
        <w:rPr>
          <w:rFonts w:cs="宋体" w:asciiTheme="minorEastAsia" w:hAnsiTheme="minorEastAsia"/>
          <w:bCs/>
          <w:sz w:val="21"/>
          <w:szCs w:val="21"/>
          <w:lang w:eastAsia="zh-CN" w:bidi="ar-SA"/>
        </w:rPr>
        <w:t>发放酬金</w:t>
      </w:r>
      <w:r>
        <w:rPr>
          <w:rFonts w:hint="eastAsia" w:cs="宋体" w:asciiTheme="minorEastAsia" w:hAnsiTheme="minorEastAsia"/>
          <w:bCs/>
          <w:sz w:val="21"/>
          <w:szCs w:val="21"/>
          <w:lang w:eastAsia="zh-CN" w:bidi="ar-SA"/>
        </w:rPr>
        <w:t>需要</w:t>
      </w:r>
      <w:r>
        <w:rPr>
          <w:rFonts w:cs="宋体" w:asciiTheme="minorEastAsia" w:hAnsiTheme="minorEastAsia"/>
          <w:bCs/>
          <w:sz w:val="21"/>
          <w:szCs w:val="21"/>
          <w:lang w:eastAsia="zh-CN" w:bidi="ar-SA"/>
        </w:rPr>
        <w:t>，请务必填写</w:t>
      </w:r>
      <w:r>
        <w:rPr>
          <w:rFonts w:hint="eastAsia" w:cs="宋体" w:asciiTheme="minorEastAsia" w:hAnsiTheme="minorEastAsia"/>
          <w:bCs/>
          <w:sz w:val="21"/>
          <w:szCs w:val="21"/>
          <w:lang w:eastAsia="zh-CN" w:bidi="ar-SA"/>
        </w:rPr>
        <w:t>）</w:t>
      </w:r>
    </w:p>
    <w:p>
      <w:pPr>
        <w:widowControl w:val="0"/>
        <w:spacing w:before="156" w:beforeLines="50" w:afterLines="0" w:line="240" w:lineRule="auto"/>
        <w:ind w:left="864" w:leftChars="202" w:hanging="420" w:hangingChars="200"/>
        <w:rPr>
          <w:rFonts w:cs="宋体" w:asciiTheme="minorEastAsia" w:hAnsiTheme="minorEastAsia"/>
          <w:bCs/>
          <w:sz w:val="21"/>
          <w:szCs w:val="21"/>
          <w:lang w:eastAsia="zh-CN" w:bidi="ar-SA"/>
        </w:rPr>
      </w:pPr>
      <w:r>
        <w:rPr>
          <w:rFonts w:hint="eastAsia" w:cs="宋体" w:asciiTheme="minorEastAsia" w:hAnsiTheme="minorEastAsia"/>
          <w:bCs/>
          <w:sz w:val="21"/>
          <w:szCs w:val="21"/>
          <w:lang w:eastAsia="zh-CN" w:bidi="ar-SA"/>
        </w:rPr>
        <w:t>评价表也可登录评估中心网站-下载区-课程考试专家评价表http://jxzx.njupt.edu.cn/下载电子版。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567" w:right="851" w:bottom="567" w:left="851" w:header="0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默认字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193991017"/>
      <w:docPartObj>
        <w:docPartGallery w:val="autotext"/>
      </w:docPartObj>
    </w:sdtPr>
    <w:sdtContent>
      <w:p>
        <w:pPr>
          <w:pStyle w:val="16"/>
          <w:spacing w:after="120"/>
          <w:ind w:firstLine="36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 w:eastAsia="zh-CN"/>
          </w:rPr>
          <w:t>1</w:t>
        </w:r>
        <w:r>
          <w:fldChar w:fldCharType="end"/>
        </w:r>
      </w:p>
    </w:sdtContent>
  </w:sdt>
  <w:p>
    <w:pPr>
      <w:pStyle w:val="16"/>
      <w:spacing w:after="12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spacing w:after="12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spacing w:after="120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spacing w:after="120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spacing w:after="120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spacing w:after="120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 w:val="1"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21E"/>
    <w:rsid w:val="00002DD7"/>
    <w:rsid w:val="000038F8"/>
    <w:rsid w:val="000040E3"/>
    <w:rsid w:val="0001157B"/>
    <w:rsid w:val="00013056"/>
    <w:rsid w:val="00014B6F"/>
    <w:rsid w:val="0002325F"/>
    <w:rsid w:val="00024630"/>
    <w:rsid w:val="000313FD"/>
    <w:rsid w:val="00031E0E"/>
    <w:rsid w:val="000359DA"/>
    <w:rsid w:val="00037E27"/>
    <w:rsid w:val="0004228E"/>
    <w:rsid w:val="00042CC8"/>
    <w:rsid w:val="0005061C"/>
    <w:rsid w:val="00050EE6"/>
    <w:rsid w:val="000542E1"/>
    <w:rsid w:val="00065EF1"/>
    <w:rsid w:val="000824A7"/>
    <w:rsid w:val="00084849"/>
    <w:rsid w:val="000A15A6"/>
    <w:rsid w:val="000B263D"/>
    <w:rsid w:val="000D460E"/>
    <w:rsid w:val="000E27AA"/>
    <w:rsid w:val="000E2B86"/>
    <w:rsid w:val="000E3C3C"/>
    <w:rsid w:val="000F232F"/>
    <w:rsid w:val="001137E2"/>
    <w:rsid w:val="00115021"/>
    <w:rsid w:val="0011517B"/>
    <w:rsid w:val="00116458"/>
    <w:rsid w:val="00116E3E"/>
    <w:rsid w:val="0012158B"/>
    <w:rsid w:val="00125EA3"/>
    <w:rsid w:val="0014127A"/>
    <w:rsid w:val="00157F49"/>
    <w:rsid w:val="0016476F"/>
    <w:rsid w:val="001676C4"/>
    <w:rsid w:val="0017073B"/>
    <w:rsid w:val="00187846"/>
    <w:rsid w:val="001A6459"/>
    <w:rsid w:val="001B11EC"/>
    <w:rsid w:val="001B4093"/>
    <w:rsid w:val="001D27F6"/>
    <w:rsid w:val="001E2D75"/>
    <w:rsid w:val="001E78B5"/>
    <w:rsid w:val="001F29DC"/>
    <w:rsid w:val="001F3889"/>
    <w:rsid w:val="001F6B68"/>
    <w:rsid w:val="0021204B"/>
    <w:rsid w:val="0021654E"/>
    <w:rsid w:val="00217FD5"/>
    <w:rsid w:val="00221CFC"/>
    <w:rsid w:val="0024471F"/>
    <w:rsid w:val="00245532"/>
    <w:rsid w:val="00255226"/>
    <w:rsid w:val="00264954"/>
    <w:rsid w:val="002A0DB7"/>
    <w:rsid w:val="002A0EB8"/>
    <w:rsid w:val="002A223F"/>
    <w:rsid w:val="002A2851"/>
    <w:rsid w:val="002A4378"/>
    <w:rsid w:val="002A6FAC"/>
    <w:rsid w:val="002B2B3B"/>
    <w:rsid w:val="002C3031"/>
    <w:rsid w:val="002F5C1F"/>
    <w:rsid w:val="00300926"/>
    <w:rsid w:val="00324C01"/>
    <w:rsid w:val="00333413"/>
    <w:rsid w:val="0034199F"/>
    <w:rsid w:val="003468FA"/>
    <w:rsid w:val="0035009A"/>
    <w:rsid w:val="00367360"/>
    <w:rsid w:val="00374D37"/>
    <w:rsid w:val="00382687"/>
    <w:rsid w:val="00385ECB"/>
    <w:rsid w:val="0039050E"/>
    <w:rsid w:val="003A1BCD"/>
    <w:rsid w:val="003C04DF"/>
    <w:rsid w:val="003C15B3"/>
    <w:rsid w:val="003D253E"/>
    <w:rsid w:val="003D5A9F"/>
    <w:rsid w:val="003E000B"/>
    <w:rsid w:val="00402C9A"/>
    <w:rsid w:val="004044D2"/>
    <w:rsid w:val="004058AA"/>
    <w:rsid w:val="004100F5"/>
    <w:rsid w:val="004121C5"/>
    <w:rsid w:val="00412876"/>
    <w:rsid w:val="004144E6"/>
    <w:rsid w:val="00425573"/>
    <w:rsid w:val="00431352"/>
    <w:rsid w:val="00445857"/>
    <w:rsid w:val="00451A12"/>
    <w:rsid w:val="004622D0"/>
    <w:rsid w:val="00465C21"/>
    <w:rsid w:val="0047601C"/>
    <w:rsid w:val="00480229"/>
    <w:rsid w:val="004A410B"/>
    <w:rsid w:val="004A7905"/>
    <w:rsid w:val="004C1895"/>
    <w:rsid w:val="004D089C"/>
    <w:rsid w:val="004D147C"/>
    <w:rsid w:val="004F15CA"/>
    <w:rsid w:val="004F7078"/>
    <w:rsid w:val="00501119"/>
    <w:rsid w:val="00522A46"/>
    <w:rsid w:val="00537685"/>
    <w:rsid w:val="00544AA5"/>
    <w:rsid w:val="00554632"/>
    <w:rsid w:val="005557BB"/>
    <w:rsid w:val="00556940"/>
    <w:rsid w:val="00562A72"/>
    <w:rsid w:val="0056526A"/>
    <w:rsid w:val="0057023F"/>
    <w:rsid w:val="00571D38"/>
    <w:rsid w:val="00574382"/>
    <w:rsid w:val="0058499C"/>
    <w:rsid w:val="00587983"/>
    <w:rsid w:val="00592F67"/>
    <w:rsid w:val="005936D3"/>
    <w:rsid w:val="005955DE"/>
    <w:rsid w:val="005A0309"/>
    <w:rsid w:val="005D59F7"/>
    <w:rsid w:val="006149D7"/>
    <w:rsid w:val="006155B1"/>
    <w:rsid w:val="0063211B"/>
    <w:rsid w:val="00632EBC"/>
    <w:rsid w:val="00655E90"/>
    <w:rsid w:val="006563AB"/>
    <w:rsid w:val="0066076B"/>
    <w:rsid w:val="006614F2"/>
    <w:rsid w:val="006772AB"/>
    <w:rsid w:val="00683E5A"/>
    <w:rsid w:val="00693FEC"/>
    <w:rsid w:val="006A455C"/>
    <w:rsid w:val="006A6534"/>
    <w:rsid w:val="006C2302"/>
    <w:rsid w:val="006C7728"/>
    <w:rsid w:val="006D51AA"/>
    <w:rsid w:val="006F1386"/>
    <w:rsid w:val="007330BD"/>
    <w:rsid w:val="00740755"/>
    <w:rsid w:val="007437DD"/>
    <w:rsid w:val="00751204"/>
    <w:rsid w:val="007531F2"/>
    <w:rsid w:val="00757FC0"/>
    <w:rsid w:val="00781FE3"/>
    <w:rsid w:val="0079251A"/>
    <w:rsid w:val="00793242"/>
    <w:rsid w:val="00795826"/>
    <w:rsid w:val="007A2291"/>
    <w:rsid w:val="007A30A7"/>
    <w:rsid w:val="007A6BEA"/>
    <w:rsid w:val="007B11EC"/>
    <w:rsid w:val="007C679B"/>
    <w:rsid w:val="007C6E4F"/>
    <w:rsid w:val="007E049E"/>
    <w:rsid w:val="00801314"/>
    <w:rsid w:val="008105D0"/>
    <w:rsid w:val="0081182C"/>
    <w:rsid w:val="00814826"/>
    <w:rsid w:val="00816E99"/>
    <w:rsid w:val="00817F3D"/>
    <w:rsid w:val="00824C1E"/>
    <w:rsid w:val="008428D8"/>
    <w:rsid w:val="00850BB9"/>
    <w:rsid w:val="00857294"/>
    <w:rsid w:val="008756AF"/>
    <w:rsid w:val="00881CB4"/>
    <w:rsid w:val="0088543C"/>
    <w:rsid w:val="008871CB"/>
    <w:rsid w:val="008A66CF"/>
    <w:rsid w:val="008C0300"/>
    <w:rsid w:val="008C0C82"/>
    <w:rsid w:val="008C425C"/>
    <w:rsid w:val="008E5E58"/>
    <w:rsid w:val="008F6723"/>
    <w:rsid w:val="00903AC8"/>
    <w:rsid w:val="00926C67"/>
    <w:rsid w:val="00926F3C"/>
    <w:rsid w:val="009418DF"/>
    <w:rsid w:val="009669F4"/>
    <w:rsid w:val="00986010"/>
    <w:rsid w:val="0099174D"/>
    <w:rsid w:val="00997068"/>
    <w:rsid w:val="00997545"/>
    <w:rsid w:val="009A68AF"/>
    <w:rsid w:val="009C13A6"/>
    <w:rsid w:val="009D794D"/>
    <w:rsid w:val="00A059EA"/>
    <w:rsid w:val="00A05EAD"/>
    <w:rsid w:val="00A17BE5"/>
    <w:rsid w:val="00A200F6"/>
    <w:rsid w:val="00A3326C"/>
    <w:rsid w:val="00A34B40"/>
    <w:rsid w:val="00A36565"/>
    <w:rsid w:val="00A37508"/>
    <w:rsid w:val="00A42871"/>
    <w:rsid w:val="00A52A98"/>
    <w:rsid w:val="00A53D76"/>
    <w:rsid w:val="00A55440"/>
    <w:rsid w:val="00A77591"/>
    <w:rsid w:val="00A9423D"/>
    <w:rsid w:val="00AA1A3C"/>
    <w:rsid w:val="00AA48EC"/>
    <w:rsid w:val="00AA6BAE"/>
    <w:rsid w:val="00AA7B6B"/>
    <w:rsid w:val="00AB2960"/>
    <w:rsid w:val="00AB7ACF"/>
    <w:rsid w:val="00AC72EE"/>
    <w:rsid w:val="00AD48B0"/>
    <w:rsid w:val="00AD73EA"/>
    <w:rsid w:val="00AE2726"/>
    <w:rsid w:val="00AF2F9C"/>
    <w:rsid w:val="00B105D0"/>
    <w:rsid w:val="00B1102E"/>
    <w:rsid w:val="00B1294C"/>
    <w:rsid w:val="00B27BEA"/>
    <w:rsid w:val="00B47635"/>
    <w:rsid w:val="00B56B82"/>
    <w:rsid w:val="00B71AAE"/>
    <w:rsid w:val="00B7202F"/>
    <w:rsid w:val="00B755EA"/>
    <w:rsid w:val="00B83FA8"/>
    <w:rsid w:val="00B842FF"/>
    <w:rsid w:val="00B86E88"/>
    <w:rsid w:val="00B9084C"/>
    <w:rsid w:val="00BA1348"/>
    <w:rsid w:val="00BA274B"/>
    <w:rsid w:val="00BA282A"/>
    <w:rsid w:val="00BC5651"/>
    <w:rsid w:val="00BE5B6E"/>
    <w:rsid w:val="00BF287D"/>
    <w:rsid w:val="00BF587E"/>
    <w:rsid w:val="00C02A46"/>
    <w:rsid w:val="00C076FD"/>
    <w:rsid w:val="00C15829"/>
    <w:rsid w:val="00C21521"/>
    <w:rsid w:val="00C30356"/>
    <w:rsid w:val="00C35F12"/>
    <w:rsid w:val="00C61894"/>
    <w:rsid w:val="00C62296"/>
    <w:rsid w:val="00C72B79"/>
    <w:rsid w:val="00CA1A2D"/>
    <w:rsid w:val="00CA621E"/>
    <w:rsid w:val="00CC1B97"/>
    <w:rsid w:val="00CC4C42"/>
    <w:rsid w:val="00CF6C3B"/>
    <w:rsid w:val="00CF7828"/>
    <w:rsid w:val="00D0170C"/>
    <w:rsid w:val="00D04E9D"/>
    <w:rsid w:val="00D6430E"/>
    <w:rsid w:val="00D90E1C"/>
    <w:rsid w:val="00D910AA"/>
    <w:rsid w:val="00D9624B"/>
    <w:rsid w:val="00DA402A"/>
    <w:rsid w:val="00DA7661"/>
    <w:rsid w:val="00DB0D8D"/>
    <w:rsid w:val="00DB7766"/>
    <w:rsid w:val="00DE271E"/>
    <w:rsid w:val="00DE2DE6"/>
    <w:rsid w:val="00DE4D66"/>
    <w:rsid w:val="00DF4BF4"/>
    <w:rsid w:val="00DF4D1D"/>
    <w:rsid w:val="00E04CE1"/>
    <w:rsid w:val="00E05B61"/>
    <w:rsid w:val="00E12617"/>
    <w:rsid w:val="00E12B9E"/>
    <w:rsid w:val="00E1300C"/>
    <w:rsid w:val="00E22F0D"/>
    <w:rsid w:val="00E26227"/>
    <w:rsid w:val="00E278C9"/>
    <w:rsid w:val="00E34095"/>
    <w:rsid w:val="00E34E18"/>
    <w:rsid w:val="00E41064"/>
    <w:rsid w:val="00E70ABB"/>
    <w:rsid w:val="00E92B4D"/>
    <w:rsid w:val="00EA1936"/>
    <w:rsid w:val="00EA399A"/>
    <w:rsid w:val="00EA5FEF"/>
    <w:rsid w:val="00EC2DE9"/>
    <w:rsid w:val="00EC3499"/>
    <w:rsid w:val="00ED4BFC"/>
    <w:rsid w:val="00EE2D78"/>
    <w:rsid w:val="00EF37E0"/>
    <w:rsid w:val="00EF6638"/>
    <w:rsid w:val="00F03575"/>
    <w:rsid w:val="00F20585"/>
    <w:rsid w:val="00F27CFF"/>
    <w:rsid w:val="00F40AB2"/>
    <w:rsid w:val="00F416FC"/>
    <w:rsid w:val="00F62AFA"/>
    <w:rsid w:val="00F7543C"/>
    <w:rsid w:val="00F77FC6"/>
    <w:rsid w:val="00F84E35"/>
    <w:rsid w:val="00FA3AB9"/>
    <w:rsid w:val="00FB3CF4"/>
    <w:rsid w:val="00FC61B5"/>
    <w:rsid w:val="00FC7925"/>
    <w:rsid w:val="00FD0F8D"/>
    <w:rsid w:val="0DF12A2C"/>
    <w:rsid w:val="0E2A3466"/>
    <w:rsid w:val="1DB72B22"/>
    <w:rsid w:val="31BA7E16"/>
    <w:rsid w:val="31D303F3"/>
    <w:rsid w:val="721564BA"/>
    <w:rsid w:val="7474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50" w:afterLines="50" w:line="360" w:lineRule="auto"/>
      <w:ind w:firstLine="200" w:firstLineChars="200"/>
    </w:pPr>
    <w:rPr>
      <w:rFonts w:asciiTheme="minorHAnsi" w:hAnsiTheme="minorHAnsi" w:eastAsiaTheme="minorEastAsia" w:cstheme="minorBidi"/>
      <w:sz w:val="22"/>
      <w:szCs w:val="22"/>
      <w:lang w:val="en-US" w:eastAsia="en-US" w:bidi="en-US"/>
    </w:rPr>
  </w:style>
  <w:style w:type="paragraph" w:styleId="2">
    <w:name w:val="heading 1"/>
    <w:basedOn w:val="1"/>
    <w:next w:val="1"/>
    <w:link w:val="2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2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29"/>
    <w:semiHidden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30"/>
    <w:semiHidden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31"/>
    <w:semiHidden/>
    <w:unhideWhenUsed/>
    <w:qFormat/>
    <w:uiPriority w:val="9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32"/>
    <w:semiHidden/>
    <w:unhideWhenUsed/>
    <w:qFormat/>
    <w:uiPriority w:val="9"/>
    <w:pPr>
      <w:keepNext/>
      <w:keepLines/>
      <w:spacing w:before="20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33"/>
    <w:semiHidden/>
    <w:unhideWhenUsed/>
    <w:qFormat/>
    <w:uiPriority w:val="9"/>
    <w:pPr>
      <w:keepNext/>
      <w:keepLines/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34"/>
    <w:semiHidden/>
    <w:unhideWhenUsed/>
    <w:qFormat/>
    <w:uiPriority w:val="9"/>
    <w:pPr>
      <w:keepNext/>
      <w:keepLines/>
      <w:spacing w:before="20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35"/>
    <w:semiHidden/>
    <w:unhideWhenUsed/>
    <w:qFormat/>
    <w:uiPriority w:val="9"/>
    <w:pPr>
      <w:keepNext/>
      <w:keepLines/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2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subject"/>
    <w:basedOn w:val="12"/>
    <w:next w:val="12"/>
    <w:link w:val="56"/>
    <w:semiHidden/>
    <w:unhideWhenUsed/>
    <w:qFormat/>
    <w:uiPriority w:val="99"/>
    <w:rPr>
      <w:b/>
      <w:bCs/>
    </w:rPr>
  </w:style>
  <w:style w:type="paragraph" w:styleId="12">
    <w:name w:val="annotation text"/>
    <w:basedOn w:val="1"/>
    <w:link w:val="55"/>
    <w:semiHidden/>
    <w:unhideWhenUsed/>
    <w:qFormat/>
    <w:uiPriority w:val="99"/>
  </w:style>
  <w:style w:type="paragraph" w:styleId="13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4">
    <w:name w:val="Date"/>
    <w:basedOn w:val="1"/>
    <w:next w:val="1"/>
    <w:link w:val="54"/>
    <w:semiHidden/>
    <w:unhideWhenUsed/>
    <w:qFormat/>
    <w:uiPriority w:val="99"/>
    <w:pPr>
      <w:ind w:left="100" w:leftChars="2500"/>
    </w:pPr>
  </w:style>
  <w:style w:type="paragraph" w:styleId="15">
    <w:name w:val="Balloon Text"/>
    <w:basedOn w:val="1"/>
    <w:link w:val="52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16">
    <w:name w:val="footer"/>
    <w:basedOn w:val="1"/>
    <w:link w:val="5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7">
    <w:name w:val="header"/>
    <w:next w:val="1"/>
    <w:link w:val="50"/>
    <w:unhideWhenUsed/>
    <w:qFormat/>
    <w:uiPriority w:val="99"/>
    <w:pPr>
      <w:tabs>
        <w:tab w:val="center" w:pos="4153"/>
        <w:tab w:val="right" w:pos="8306"/>
      </w:tabs>
      <w:snapToGrid w:val="0"/>
      <w:spacing w:after="50" w:afterLines="50" w:line="240" w:lineRule="auto"/>
      <w:ind w:firstLine="200" w:firstLineChars="200"/>
      <w:jc w:val="center"/>
    </w:pPr>
    <w:rPr>
      <w:rFonts w:asciiTheme="minorHAnsi" w:hAnsiTheme="minorHAnsi" w:eastAsiaTheme="minorEastAsia" w:cstheme="minorBidi"/>
      <w:sz w:val="18"/>
      <w:szCs w:val="18"/>
      <w:lang w:val="en-US" w:eastAsia="en-US" w:bidi="en-US"/>
    </w:rPr>
  </w:style>
  <w:style w:type="paragraph" w:styleId="18">
    <w:name w:val="Subtitle"/>
    <w:basedOn w:val="1"/>
    <w:next w:val="1"/>
    <w:link w:val="37"/>
    <w:qFormat/>
    <w:uiPriority w:val="11"/>
    <w:pPr>
      <w:ind w:firstLine="200" w:firstLineChars="200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9">
    <w:name w:val="Title"/>
    <w:basedOn w:val="1"/>
    <w:next w:val="1"/>
    <w:link w:val="36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styleId="21">
    <w:name w:val="Strong"/>
    <w:basedOn w:val="20"/>
    <w:qFormat/>
    <w:uiPriority w:val="22"/>
    <w:rPr>
      <w:b/>
      <w:bCs/>
    </w:rPr>
  </w:style>
  <w:style w:type="character" w:styleId="22">
    <w:name w:val="Emphasis"/>
    <w:basedOn w:val="20"/>
    <w:qFormat/>
    <w:uiPriority w:val="20"/>
    <w:rPr>
      <w:i/>
      <w:iCs/>
    </w:rPr>
  </w:style>
  <w:style w:type="character" w:styleId="23">
    <w:name w:val="Hyperlink"/>
    <w:basedOn w:val="2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24">
    <w:name w:val="annotation reference"/>
    <w:basedOn w:val="20"/>
    <w:semiHidden/>
    <w:unhideWhenUsed/>
    <w:qFormat/>
    <w:uiPriority w:val="99"/>
    <w:rPr>
      <w:sz w:val="21"/>
      <w:szCs w:val="21"/>
    </w:rPr>
  </w:style>
  <w:style w:type="table" w:styleId="26">
    <w:name w:val="Table Grid"/>
    <w:basedOn w:val="25"/>
    <w:qFormat/>
    <w:uiPriority w:val="59"/>
    <w:pPr>
      <w:spacing w:afterLines="50"/>
      <w:ind w:firstLineChars="20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7">
    <w:name w:val="标题 1 Char"/>
    <w:basedOn w:val="20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28">
    <w:name w:val="标题 2 Char"/>
    <w:basedOn w:val="20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29">
    <w:name w:val="标题 3 Char"/>
    <w:basedOn w:val="20"/>
    <w:link w:val="4"/>
    <w:semiHidden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30">
    <w:name w:val="标题 4 Char"/>
    <w:basedOn w:val="20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31">
    <w:name w:val="标题 5 Char"/>
    <w:basedOn w:val="20"/>
    <w:link w:val="6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32">
    <w:name w:val="标题 6 Char"/>
    <w:basedOn w:val="20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33">
    <w:name w:val="标题 7 Char"/>
    <w:basedOn w:val="20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4">
    <w:name w:val="标题 8 Char"/>
    <w:basedOn w:val="20"/>
    <w:link w:val="9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35">
    <w:name w:val="标题 9 Char"/>
    <w:basedOn w:val="20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6">
    <w:name w:val="标题 Char"/>
    <w:basedOn w:val="20"/>
    <w:link w:val="19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37">
    <w:name w:val="副标题 Char"/>
    <w:basedOn w:val="20"/>
    <w:link w:val="18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38">
    <w:name w:val="No Spacing"/>
    <w:qFormat/>
    <w:uiPriority w:val="1"/>
    <w:pPr>
      <w:spacing w:after="50" w:afterLines="50" w:line="360" w:lineRule="auto"/>
      <w:ind w:firstLine="200" w:firstLineChars="200"/>
    </w:pPr>
    <w:rPr>
      <w:rFonts w:asciiTheme="minorHAnsi" w:hAnsiTheme="minorHAnsi" w:eastAsiaTheme="minorEastAsia" w:cstheme="minorBidi"/>
      <w:sz w:val="22"/>
      <w:szCs w:val="22"/>
      <w:lang w:val="en-US" w:eastAsia="en-US" w:bidi="en-US"/>
    </w:rPr>
  </w:style>
  <w:style w:type="paragraph" w:styleId="39">
    <w:name w:val="List Paragraph"/>
    <w:basedOn w:val="1"/>
    <w:qFormat/>
    <w:uiPriority w:val="34"/>
    <w:pPr>
      <w:ind w:left="720"/>
      <w:contextualSpacing/>
    </w:pPr>
  </w:style>
  <w:style w:type="paragraph" w:styleId="40">
    <w:name w:val="Quote"/>
    <w:basedOn w:val="1"/>
    <w:next w:val="1"/>
    <w:link w:val="4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41">
    <w:name w:val="引用 Char"/>
    <w:basedOn w:val="20"/>
    <w:link w:val="4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paragraph" w:styleId="42">
    <w:name w:val="Intense Quote"/>
    <w:basedOn w:val="1"/>
    <w:next w:val="1"/>
    <w:link w:val="43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43">
    <w:name w:val="明显引用 Char"/>
    <w:basedOn w:val="20"/>
    <w:link w:val="42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44">
    <w:name w:val="Subtle Emphasis"/>
    <w:basedOn w:val="20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45">
    <w:name w:val="Intense Emphasis"/>
    <w:basedOn w:val="20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46">
    <w:name w:val="Subtle Reference"/>
    <w:basedOn w:val="20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47">
    <w:name w:val="Intense Reference"/>
    <w:basedOn w:val="20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48">
    <w:name w:val="Book Title"/>
    <w:basedOn w:val="20"/>
    <w:qFormat/>
    <w:uiPriority w:val="33"/>
    <w:rPr>
      <w:b/>
      <w:bCs/>
      <w:smallCaps/>
      <w:spacing w:val="5"/>
    </w:rPr>
  </w:style>
  <w:style w:type="paragraph" w:customStyle="1" w:styleId="49">
    <w:name w:val="TOC Heading"/>
    <w:basedOn w:val="2"/>
    <w:next w:val="1"/>
    <w:semiHidden/>
    <w:unhideWhenUsed/>
    <w:qFormat/>
    <w:uiPriority w:val="39"/>
    <w:pPr>
      <w:outlineLvl w:val="9"/>
    </w:pPr>
  </w:style>
  <w:style w:type="character" w:customStyle="1" w:styleId="50">
    <w:name w:val="页眉 Char"/>
    <w:basedOn w:val="20"/>
    <w:link w:val="17"/>
    <w:qFormat/>
    <w:uiPriority w:val="99"/>
    <w:rPr>
      <w:sz w:val="18"/>
      <w:szCs w:val="18"/>
    </w:rPr>
  </w:style>
  <w:style w:type="character" w:customStyle="1" w:styleId="51">
    <w:name w:val="页脚 Char"/>
    <w:basedOn w:val="20"/>
    <w:link w:val="16"/>
    <w:qFormat/>
    <w:uiPriority w:val="99"/>
    <w:rPr>
      <w:sz w:val="18"/>
      <w:szCs w:val="18"/>
    </w:rPr>
  </w:style>
  <w:style w:type="character" w:customStyle="1" w:styleId="52">
    <w:name w:val="批注框文本 Char"/>
    <w:basedOn w:val="20"/>
    <w:link w:val="15"/>
    <w:semiHidden/>
    <w:qFormat/>
    <w:uiPriority w:val="99"/>
    <w:rPr>
      <w:sz w:val="18"/>
      <w:szCs w:val="18"/>
    </w:rPr>
  </w:style>
  <w:style w:type="paragraph" w:customStyle="1" w:styleId="53">
    <w:name w:val="reader-word-layer"/>
    <w:basedOn w:val="1"/>
    <w:qFormat/>
    <w:uiPriority w:val="0"/>
    <w:pPr>
      <w:spacing w:before="100" w:beforeAutospacing="1" w:afterLines="0" w:afterAutospacing="1" w:line="240" w:lineRule="auto"/>
      <w:ind w:firstLine="0" w:firstLineChars="0"/>
    </w:pPr>
    <w:rPr>
      <w:rFonts w:ascii="宋体" w:hAnsi="宋体" w:eastAsia="宋体" w:cs="宋体"/>
      <w:sz w:val="24"/>
      <w:szCs w:val="24"/>
      <w:lang w:eastAsia="zh-CN" w:bidi="ar-SA"/>
    </w:rPr>
  </w:style>
  <w:style w:type="character" w:customStyle="1" w:styleId="54">
    <w:name w:val="日期 Char"/>
    <w:basedOn w:val="20"/>
    <w:link w:val="14"/>
    <w:semiHidden/>
    <w:qFormat/>
    <w:uiPriority w:val="99"/>
  </w:style>
  <w:style w:type="character" w:customStyle="1" w:styleId="55">
    <w:name w:val="批注文字 Char"/>
    <w:basedOn w:val="20"/>
    <w:link w:val="12"/>
    <w:semiHidden/>
    <w:qFormat/>
    <w:uiPriority w:val="99"/>
  </w:style>
  <w:style w:type="character" w:customStyle="1" w:styleId="56">
    <w:name w:val="批注主题 Char"/>
    <w:basedOn w:val="55"/>
    <w:link w:val="11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931889C-E809-4D97-8DCA-D7E9600F771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125</Words>
  <Characters>719</Characters>
  <Lines>5</Lines>
  <Paragraphs>1</Paragraphs>
  <TotalTime>3</TotalTime>
  <ScaleCrop>false</ScaleCrop>
  <LinksUpToDate>false</LinksUpToDate>
  <CharactersWithSpaces>843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2016-09-21T02:06:00Z</dcterms:created>
  <dc:creator>Hong</dc:creator>
  <cp:lastModifiedBy>黄海平</cp:lastModifiedBy>
  <cp:lastPrinted>2018-05-07T02:43:00Z</cp:lastPrinted>
  <dcterms:modified xsi:type="dcterms:W3CDTF">2019-01-05T02:31:14Z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